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E8D9" w14:textId="77777777" w:rsidR="00A260C7" w:rsidRPr="00881160" w:rsidRDefault="00A260C7" w:rsidP="00ED7AFF">
      <w:pPr>
        <w:tabs>
          <w:tab w:val="left" w:pos="6059"/>
        </w:tabs>
        <w:spacing w:line="265" w:lineRule="atLeast"/>
        <w:jc w:val="right"/>
        <w:rPr>
          <w:sz w:val="24"/>
          <w:szCs w:val="24"/>
        </w:rPr>
      </w:pPr>
      <w:r>
        <w:tab/>
      </w:r>
      <w:r w:rsidRPr="00881160">
        <w:rPr>
          <w:sz w:val="24"/>
          <w:szCs w:val="24"/>
        </w:rPr>
        <w:t xml:space="preserve">                                     Утверждено</w:t>
      </w:r>
    </w:p>
    <w:p w14:paraId="4B549A3C" w14:textId="480686A5" w:rsidR="00A260C7" w:rsidRPr="00881160" w:rsidRDefault="00A260C7" w:rsidP="00ED7AFF">
      <w:pPr>
        <w:spacing w:line="265" w:lineRule="atLeast"/>
        <w:jc w:val="right"/>
        <w:rPr>
          <w:sz w:val="24"/>
          <w:szCs w:val="24"/>
        </w:rPr>
      </w:pPr>
      <w:r w:rsidRPr="00881160">
        <w:rPr>
          <w:sz w:val="24"/>
          <w:szCs w:val="24"/>
        </w:rPr>
        <w:t xml:space="preserve">                                        </w:t>
      </w:r>
      <w:r w:rsidR="00541225">
        <w:rPr>
          <w:sz w:val="24"/>
          <w:szCs w:val="24"/>
        </w:rPr>
        <w:t xml:space="preserve">                   Приказом № </w:t>
      </w:r>
      <w:r w:rsidR="003D205A" w:rsidRPr="00555516">
        <w:rPr>
          <w:sz w:val="24"/>
          <w:szCs w:val="24"/>
        </w:rPr>
        <w:t>1</w:t>
      </w:r>
      <w:r w:rsidR="00541225">
        <w:rPr>
          <w:sz w:val="24"/>
          <w:szCs w:val="24"/>
        </w:rPr>
        <w:t xml:space="preserve"> от </w:t>
      </w:r>
      <w:r w:rsidR="00380C8F">
        <w:rPr>
          <w:sz w:val="24"/>
          <w:szCs w:val="24"/>
        </w:rPr>
        <w:t>30</w:t>
      </w:r>
      <w:r w:rsidR="00541225">
        <w:rPr>
          <w:sz w:val="24"/>
          <w:szCs w:val="24"/>
        </w:rPr>
        <w:t>.</w:t>
      </w:r>
      <w:r w:rsidR="00380C8F">
        <w:rPr>
          <w:sz w:val="24"/>
          <w:szCs w:val="24"/>
        </w:rPr>
        <w:t>06</w:t>
      </w:r>
      <w:r w:rsidR="00541225">
        <w:rPr>
          <w:sz w:val="24"/>
          <w:szCs w:val="24"/>
        </w:rPr>
        <w:t>.20</w:t>
      </w:r>
      <w:r w:rsidR="003D205A">
        <w:rPr>
          <w:sz w:val="24"/>
          <w:szCs w:val="24"/>
        </w:rPr>
        <w:t>2</w:t>
      </w:r>
      <w:r w:rsidR="00380C8F">
        <w:rPr>
          <w:sz w:val="24"/>
          <w:szCs w:val="24"/>
        </w:rPr>
        <w:t>3</w:t>
      </w:r>
      <w:r w:rsidR="00541225" w:rsidRPr="00EA659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81160">
        <w:rPr>
          <w:sz w:val="24"/>
          <w:szCs w:val="24"/>
        </w:rPr>
        <w:t xml:space="preserve"> Генерального директора</w:t>
      </w:r>
    </w:p>
    <w:p w14:paraId="07ADBBA1" w14:textId="77777777" w:rsidR="00A260C7" w:rsidRPr="00881160" w:rsidRDefault="00A260C7" w:rsidP="00ED7AFF">
      <w:pPr>
        <w:tabs>
          <w:tab w:val="left" w:pos="3464"/>
        </w:tabs>
        <w:spacing w:line="26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</w:t>
      </w:r>
      <w:r w:rsidRPr="00881160">
        <w:rPr>
          <w:sz w:val="24"/>
          <w:szCs w:val="24"/>
        </w:rPr>
        <w:t xml:space="preserve">ООО МКК «Честные деньги» </w:t>
      </w:r>
      <w:proofErr w:type="spellStart"/>
      <w:r w:rsidRPr="00881160">
        <w:rPr>
          <w:sz w:val="24"/>
          <w:szCs w:val="24"/>
        </w:rPr>
        <w:t>Кибиным</w:t>
      </w:r>
      <w:proofErr w:type="spellEnd"/>
      <w:r w:rsidRPr="00881160">
        <w:rPr>
          <w:sz w:val="24"/>
          <w:szCs w:val="24"/>
        </w:rPr>
        <w:t xml:space="preserve"> А.А.</w:t>
      </w:r>
    </w:p>
    <w:p w14:paraId="2F03BC12" w14:textId="77777777" w:rsidR="00A260C7" w:rsidRPr="00881160" w:rsidRDefault="00A260C7" w:rsidP="000C72CB">
      <w:pPr>
        <w:spacing w:line="265" w:lineRule="atLeast"/>
        <w:rPr>
          <w:sz w:val="24"/>
          <w:szCs w:val="24"/>
        </w:rPr>
      </w:pPr>
    </w:p>
    <w:p w14:paraId="3D52DB4D" w14:textId="77777777" w:rsidR="00A260C7" w:rsidRPr="003035B3" w:rsidRDefault="00A260C7" w:rsidP="000C72CB">
      <w:pPr>
        <w:spacing w:line="265" w:lineRule="atLeast"/>
      </w:pPr>
    </w:p>
    <w:p w14:paraId="2EB3EDDE" w14:textId="77777777" w:rsidR="00A260C7" w:rsidRPr="003035B3" w:rsidRDefault="00A260C7" w:rsidP="000C72CB">
      <w:pPr>
        <w:spacing w:line="265" w:lineRule="atLeast"/>
      </w:pPr>
    </w:p>
    <w:p w14:paraId="47B92FC5" w14:textId="77777777" w:rsidR="00A260C7" w:rsidRDefault="00A260C7" w:rsidP="000C72CB">
      <w:pPr>
        <w:spacing w:line="265" w:lineRule="atLeast"/>
      </w:pPr>
    </w:p>
    <w:p w14:paraId="266A7568" w14:textId="77777777" w:rsidR="00A260C7" w:rsidRPr="00881160" w:rsidRDefault="00A260C7" w:rsidP="008C76B4">
      <w:pPr>
        <w:tabs>
          <w:tab w:val="left" w:pos="1725"/>
        </w:tabs>
        <w:spacing w:line="265" w:lineRule="atLeast"/>
        <w:jc w:val="center"/>
        <w:rPr>
          <w:sz w:val="32"/>
          <w:szCs w:val="32"/>
        </w:rPr>
      </w:pPr>
      <w:r w:rsidRPr="00881160">
        <w:rPr>
          <w:sz w:val="32"/>
          <w:szCs w:val="32"/>
        </w:rPr>
        <w:t>ОБЩЕСТВО С ОГРАНИЧЕННОЙ ОТВЕТСТВЕННОСТЬЮ</w:t>
      </w:r>
    </w:p>
    <w:p w14:paraId="5D26CC47" w14:textId="77777777" w:rsidR="00A260C7" w:rsidRPr="00881160" w:rsidRDefault="00A260C7" w:rsidP="008C76B4">
      <w:pPr>
        <w:tabs>
          <w:tab w:val="left" w:pos="1725"/>
        </w:tabs>
        <w:spacing w:line="265" w:lineRule="atLeast"/>
        <w:jc w:val="center"/>
        <w:rPr>
          <w:sz w:val="32"/>
          <w:szCs w:val="32"/>
        </w:rPr>
      </w:pPr>
      <w:r w:rsidRPr="00881160">
        <w:rPr>
          <w:sz w:val="32"/>
          <w:szCs w:val="32"/>
        </w:rPr>
        <w:t>МИКРОКРЕДИТНАЯ КОМПАНИЯ</w:t>
      </w:r>
    </w:p>
    <w:p w14:paraId="3477B428" w14:textId="77777777" w:rsidR="00A260C7" w:rsidRPr="00881160" w:rsidRDefault="00A260C7" w:rsidP="008C76B4">
      <w:pPr>
        <w:tabs>
          <w:tab w:val="left" w:pos="1725"/>
        </w:tabs>
        <w:spacing w:line="265" w:lineRule="atLeast"/>
        <w:jc w:val="center"/>
        <w:rPr>
          <w:sz w:val="32"/>
          <w:szCs w:val="32"/>
        </w:rPr>
      </w:pPr>
      <w:r w:rsidRPr="00881160">
        <w:rPr>
          <w:sz w:val="32"/>
          <w:szCs w:val="32"/>
        </w:rPr>
        <w:t>«ЧЕСТНЫЕ ДЕНЬГИ»</w:t>
      </w:r>
    </w:p>
    <w:p w14:paraId="6F473FBD" w14:textId="77777777" w:rsidR="00A260C7" w:rsidRPr="00881160" w:rsidRDefault="00A260C7" w:rsidP="008C76B4">
      <w:pPr>
        <w:spacing w:line="265" w:lineRule="atLeast"/>
        <w:jc w:val="center"/>
        <w:rPr>
          <w:sz w:val="32"/>
          <w:szCs w:val="32"/>
        </w:rPr>
      </w:pPr>
    </w:p>
    <w:p w14:paraId="1B65345E" w14:textId="77777777" w:rsidR="00A260C7" w:rsidRPr="00881160" w:rsidRDefault="00A260C7" w:rsidP="008C76B4">
      <w:pPr>
        <w:tabs>
          <w:tab w:val="left" w:pos="924"/>
        </w:tabs>
        <w:spacing w:line="265" w:lineRule="atLeast"/>
        <w:jc w:val="center"/>
        <w:rPr>
          <w:sz w:val="32"/>
          <w:szCs w:val="32"/>
        </w:rPr>
      </w:pPr>
      <w:r w:rsidRPr="00881160">
        <w:rPr>
          <w:sz w:val="32"/>
          <w:szCs w:val="32"/>
        </w:rPr>
        <w:t xml:space="preserve">ИНФОРМАЦИЯ ОБ УСЛОВИЯХ ПРЕДОСТАВЛЕНИЯ, ИСПОЛЬЗОВАНИЯ </w:t>
      </w:r>
      <w:r>
        <w:rPr>
          <w:sz w:val="32"/>
          <w:szCs w:val="32"/>
        </w:rPr>
        <w:t xml:space="preserve">               </w:t>
      </w:r>
      <w:r w:rsidRPr="00881160">
        <w:rPr>
          <w:sz w:val="32"/>
          <w:szCs w:val="32"/>
        </w:rPr>
        <w:t>И ВОЗВРАТА МИКРОЗАЙМА</w:t>
      </w:r>
    </w:p>
    <w:p w14:paraId="1496B39F" w14:textId="1131F1A3" w:rsidR="00A260C7" w:rsidRPr="00881160" w:rsidRDefault="00A260C7" w:rsidP="008C76B4">
      <w:pPr>
        <w:tabs>
          <w:tab w:val="left" w:pos="924"/>
        </w:tabs>
        <w:spacing w:line="265" w:lineRule="atLeast"/>
        <w:jc w:val="center"/>
        <w:rPr>
          <w:sz w:val="32"/>
          <w:szCs w:val="32"/>
        </w:rPr>
      </w:pPr>
      <w:r w:rsidRPr="00881160">
        <w:rPr>
          <w:sz w:val="32"/>
          <w:szCs w:val="32"/>
        </w:rPr>
        <w:t>редакц</w:t>
      </w:r>
      <w:r w:rsidR="00541225">
        <w:rPr>
          <w:sz w:val="32"/>
          <w:szCs w:val="32"/>
        </w:rPr>
        <w:t xml:space="preserve">ия от </w:t>
      </w:r>
      <w:r w:rsidR="009C76A2">
        <w:rPr>
          <w:sz w:val="32"/>
          <w:szCs w:val="32"/>
        </w:rPr>
        <w:t>30</w:t>
      </w:r>
      <w:r w:rsidR="00541225">
        <w:rPr>
          <w:sz w:val="32"/>
          <w:szCs w:val="32"/>
        </w:rPr>
        <w:t>.0</w:t>
      </w:r>
      <w:r w:rsidR="009C76A2">
        <w:rPr>
          <w:sz w:val="32"/>
          <w:szCs w:val="32"/>
        </w:rPr>
        <w:t>6</w:t>
      </w:r>
      <w:r w:rsidR="00541225">
        <w:rPr>
          <w:sz w:val="32"/>
          <w:szCs w:val="32"/>
        </w:rPr>
        <w:t>.20</w:t>
      </w:r>
      <w:r w:rsidR="003D205A">
        <w:rPr>
          <w:sz w:val="32"/>
          <w:szCs w:val="32"/>
        </w:rPr>
        <w:t>2</w:t>
      </w:r>
      <w:r w:rsidR="009C76A2">
        <w:rPr>
          <w:sz w:val="32"/>
          <w:szCs w:val="32"/>
        </w:rPr>
        <w:t>3</w:t>
      </w:r>
      <w:r>
        <w:rPr>
          <w:sz w:val="32"/>
          <w:szCs w:val="32"/>
        </w:rPr>
        <w:t>г.</w:t>
      </w:r>
    </w:p>
    <w:p w14:paraId="74759A73" w14:textId="77777777" w:rsidR="00A260C7" w:rsidRDefault="00A260C7" w:rsidP="008C76B4">
      <w:pPr>
        <w:tabs>
          <w:tab w:val="left" w:pos="924"/>
        </w:tabs>
        <w:spacing w:line="265" w:lineRule="atLeast"/>
        <w:jc w:val="center"/>
      </w:pPr>
    </w:p>
    <w:p w14:paraId="5EB316C0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177CB006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25799BB7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45578489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4984596E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7567ACBF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255B08C9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306CC1FD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575ADEE0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54251AA7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2E7C6C5C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7655CA47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543E0339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6A0E7E3E" w14:textId="28CC2DDF" w:rsidR="00A260C7" w:rsidRDefault="00A260C7" w:rsidP="000C72CB">
      <w:pPr>
        <w:tabs>
          <w:tab w:val="left" w:pos="924"/>
        </w:tabs>
        <w:spacing w:line="265" w:lineRule="atLeast"/>
      </w:pPr>
      <w:r>
        <w:t xml:space="preserve">                                               </w:t>
      </w:r>
      <w:r w:rsidR="00541225">
        <w:t xml:space="preserve">                г. Кострома 20</w:t>
      </w:r>
      <w:r w:rsidR="003D205A">
        <w:t>2</w:t>
      </w:r>
      <w:r w:rsidR="009C76A2">
        <w:t>3</w:t>
      </w:r>
      <w:r>
        <w:t>г.</w:t>
      </w:r>
    </w:p>
    <w:p w14:paraId="490DF6E0" w14:textId="77777777" w:rsidR="00A260C7" w:rsidRDefault="00A260C7" w:rsidP="000C72CB">
      <w:pPr>
        <w:tabs>
          <w:tab w:val="left" w:pos="924"/>
        </w:tabs>
        <w:spacing w:line="265" w:lineRule="atLeast"/>
      </w:pPr>
    </w:p>
    <w:p w14:paraId="37C4CDDC" w14:textId="77777777" w:rsidR="00A260C7" w:rsidRDefault="00A260C7" w:rsidP="000C72CB">
      <w:pPr>
        <w:tabs>
          <w:tab w:val="left" w:pos="924"/>
        </w:tabs>
        <w:spacing w:line="265" w:lineRule="atLeast"/>
      </w:pPr>
      <w:r>
        <w:t xml:space="preserve">Настоящий документ разработан Обществом с ограниченной ответственностью </w:t>
      </w:r>
      <w:proofErr w:type="spellStart"/>
      <w:r>
        <w:t>Микрокредитная</w:t>
      </w:r>
      <w:proofErr w:type="spellEnd"/>
      <w:r>
        <w:t xml:space="preserve"> компания «Честные Деньги» (далее по тексту – Кредитор) во исполнение требований действующего законодательства РФ и в соответствии с иными, в том числе в соответствии с Федеральным законом Российской Федерации от 21 декабря 2013г. № 353 ФЗ «О потребительском кредите (займе)» и содержит информацию об условиях предоставления, использования и возврата потребительского микрозайма (далее совместно именуемая – «Информация», «Общие условия договора денежного займа»). Настоящий документ размещается в местах оказания услуг(офисах) и в сети Интернет на сайте: </w:t>
      </w:r>
      <w:proofErr w:type="spellStart"/>
      <w:r>
        <w:rPr>
          <w:lang w:val="en-US"/>
        </w:rPr>
        <w:t>chestniedengi</w:t>
      </w:r>
      <w:proofErr w:type="spellEnd"/>
      <w:r w:rsidRPr="00ED7AFF">
        <w:t>.</w:t>
      </w:r>
      <w:proofErr w:type="spellStart"/>
      <w:r>
        <w:rPr>
          <w:lang w:val="en-US"/>
        </w:rPr>
        <w:t>ru</w:t>
      </w:r>
      <w:proofErr w:type="spellEnd"/>
      <w:r>
        <w:t xml:space="preserve"> и содержит следующую информацию: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811"/>
        <w:gridCol w:w="4584"/>
      </w:tblGrid>
      <w:tr w:rsidR="00A260C7" w:rsidRPr="00560877" w14:paraId="5A45DE7A" w14:textId="77777777">
        <w:trPr>
          <w:trHeight w:val="697"/>
        </w:trPr>
        <w:tc>
          <w:tcPr>
            <w:tcW w:w="829" w:type="dxa"/>
          </w:tcPr>
          <w:p w14:paraId="141A4CA3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1</w:t>
            </w:r>
          </w:p>
        </w:tc>
        <w:tc>
          <w:tcPr>
            <w:tcW w:w="3811" w:type="dxa"/>
          </w:tcPr>
          <w:p w14:paraId="4FFAC947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Наименование Кредитора</w:t>
            </w:r>
          </w:p>
        </w:tc>
        <w:tc>
          <w:tcPr>
            <w:tcW w:w="4584" w:type="dxa"/>
          </w:tcPr>
          <w:p w14:paraId="63088E3E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 xml:space="preserve">Общество с ограниченной ответственностью                </w:t>
            </w:r>
            <w:proofErr w:type="spellStart"/>
            <w:r w:rsidRPr="00560877">
              <w:t>Микрокредитная</w:t>
            </w:r>
            <w:proofErr w:type="spellEnd"/>
            <w:r w:rsidRPr="00560877">
              <w:t xml:space="preserve"> компания «Честные деньги»</w:t>
            </w:r>
          </w:p>
        </w:tc>
      </w:tr>
      <w:tr w:rsidR="00A260C7" w:rsidRPr="00560877" w14:paraId="0E325F7C" w14:textId="77777777">
        <w:trPr>
          <w:trHeight w:val="914"/>
        </w:trPr>
        <w:tc>
          <w:tcPr>
            <w:tcW w:w="829" w:type="dxa"/>
          </w:tcPr>
          <w:p w14:paraId="4574D51F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2</w:t>
            </w:r>
          </w:p>
        </w:tc>
        <w:tc>
          <w:tcPr>
            <w:tcW w:w="3811" w:type="dxa"/>
          </w:tcPr>
          <w:p w14:paraId="2E20E832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Место нахождения постоянно действующего исполнительного органа</w:t>
            </w:r>
          </w:p>
        </w:tc>
        <w:tc>
          <w:tcPr>
            <w:tcW w:w="4584" w:type="dxa"/>
          </w:tcPr>
          <w:p w14:paraId="3F788926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156029, г. Кострома, ул</w:t>
            </w:r>
            <w:r w:rsidR="00B859C2">
              <w:t>.</w:t>
            </w:r>
            <w:r w:rsidRPr="00560877">
              <w:t xml:space="preserve"> Мясницкая, д. 112,  оф. 1</w:t>
            </w:r>
          </w:p>
        </w:tc>
      </w:tr>
      <w:tr w:rsidR="00A260C7" w:rsidRPr="00560877" w14:paraId="75611B77" w14:textId="77777777">
        <w:trPr>
          <w:trHeight w:val="298"/>
        </w:trPr>
        <w:tc>
          <w:tcPr>
            <w:tcW w:w="829" w:type="dxa"/>
          </w:tcPr>
          <w:p w14:paraId="3D85C202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3</w:t>
            </w:r>
          </w:p>
        </w:tc>
        <w:tc>
          <w:tcPr>
            <w:tcW w:w="3811" w:type="dxa"/>
          </w:tcPr>
          <w:p w14:paraId="4F7095C6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proofErr w:type="gramStart"/>
            <w:r w:rsidRPr="00560877">
              <w:t>Контактный телефон</w:t>
            </w:r>
            <w:proofErr w:type="gramEnd"/>
            <w:r w:rsidRPr="00560877">
              <w:t xml:space="preserve"> по которому осуществлять связь с Кредитором</w:t>
            </w:r>
          </w:p>
        </w:tc>
        <w:tc>
          <w:tcPr>
            <w:tcW w:w="4584" w:type="dxa"/>
          </w:tcPr>
          <w:p w14:paraId="2D2EBEF9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8 800 2 347 347</w:t>
            </w:r>
          </w:p>
        </w:tc>
      </w:tr>
      <w:tr w:rsidR="00A260C7" w:rsidRPr="00560877" w14:paraId="2BF1702A" w14:textId="77777777">
        <w:trPr>
          <w:trHeight w:val="298"/>
        </w:trPr>
        <w:tc>
          <w:tcPr>
            <w:tcW w:w="829" w:type="dxa"/>
          </w:tcPr>
          <w:p w14:paraId="2967893C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4</w:t>
            </w:r>
          </w:p>
        </w:tc>
        <w:tc>
          <w:tcPr>
            <w:tcW w:w="3811" w:type="dxa"/>
          </w:tcPr>
          <w:p w14:paraId="040896F2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Официальный сайт Кредитора в информационно-телекоммуникационной сети «Интернет»</w:t>
            </w:r>
          </w:p>
        </w:tc>
        <w:tc>
          <w:tcPr>
            <w:tcW w:w="4584" w:type="dxa"/>
          </w:tcPr>
          <w:p w14:paraId="589374B7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  <w:rPr>
                <w:sz w:val="20"/>
                <w:szCs w:val="20"/>
              </w:rPr>
            </w:pPr>
            <w:proofErr w:type="spellStart"/>
            <w:r w:rsidRPr="00560877">
              <w:rPr>
                <w:lang w:val="en-US"/>
              </w:rPr>
              <w:t>chestniedengi</w:t>
            </w:r>
            <w:proofErr w:type="spellEnd"/>
            <w:r w:rsidRPr="00560877">
              <w:t>.</w:t>
            </w:r>
            <w:proofErr w:type="spellStart"/>
            <w:r w:rsidRPr="00560877">
              <w:rPr>
                <w:lang w:val="en-US"/>
              </w:rPr>
              <w:t>ru</w:t>
            </w:r>
            <w:proofErr w:type="spellEnd"/>
          </w:p>
        </w:tc>
      </w:tr>
      <w:tr w:rsidR="00A260C7" w:rsidRPr="00560877" w14:paraId="4A74B86D" w14:textId="77777777">
        <w:trPr>
          <w:trHeight w:val="747"/>
        </w:trPr>
        <w:tc>
          <w:tcPr>
            <w:tcW w:w="829" w:type="dxa"/>
          </w:tcPr>
          <w:p w14:paraId="6868D35F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5</w:t>
            </w:r>
          </w:p>
        </w:tc>
        <w:tc>
          <w:tcPr>
            <w:tcW w:w="3811" w:type="dxa"/>
          </w:tcPr>
          <w:p w14:paraId="1881D4BB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Информация о внесении сведений об  обществе в государственный реестр микрофинансовых организаций и членстве в саморегулируемой организации участников финансового рынка</w:t>
            </w:r>
          </w:p>
        </w:tc>
        <w:tc>
          <w:tcPr>
            <w:tcW w:w="4584" w:type="dxa"/>
          </w:tcPr>
          <w:p w14:paraId="47CACF04" w14:textId="43BA04B8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Кредитор зарегистрирован</w:t>
            </w:r>
            <w:r>
              <w:t xml:space="preserve"> в реестр МФО Центрального банка России № </w:t>
            </w:r>
            <w:r>
              <w:rPr>
                <w:color w:val="000000"/>
              </w:rPr>
              <w:t>1703034008427. Является членом СРО "</w:t>
            </w:r>
            <w:r w:rsidR="00380C8F">
              <w:rPr>
                <w:color w:val="000000"/>
              </w:rPr>
              <w:t>Альянс</w:t>
            </w:r>
            <w:r>
              <w:rPr>
                <w:color w:val="000000"/>
              </w:rPr>
              <w:t>".</w:t>
            </w:r>
          </w:p>
        </w:tc>
      </w:tr>
      <w:tr w:rsidR="00A260C7" w:rsidRPr="00560877" w14:paraId="1366B619" w14:textId="77777777">
        <w:trPr>
          <w:trHeight w:val="258"/>
        </w:trPr>
        <w:tc>
          <w:tcPr>
            <w:tcW w:w="829" w:type="dxa"/>
          </w:tcPr>
          <w:p w14:paraId="7AD3FD9E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6</w:t>
            </w:r>
          </w:p>
        </w:tc>
        <w:tc>
          <w:tcPr>
            <w:tcW w:w="3811" w:type="dxa"/>
          </w:tcPr>
          <w:p w14:paraId="31B5964D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Требования к заемщику, которые установлены Кредитором и выполнение которых является обязательным для предоставления потребительского займа</w:t>
            </w:r>
          </w:p>
        </w:tc>
        <w:tc>
          <w:tcPr>
            <w:tcW w:w="4584" w:type="dxa"/>
          </w:tcPr>
          <w:p w14:paraId="1E53E436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Микрозаймы предоставляются только гражданам Российской Федерации. Постоянно зарегистрированным (имеющим прописку) и проживающим на территории Российской Федерации, Возраст Заемщика от 18 до 75 лет. Наличие у лица (Заемщика) полной дееспособности (т.е. решения суда о признании лица недееспособным или ограниченно дееспособным). Заемщик не должен находится в состоянии алкогольного или наркотического опьянения.</w:t>
            </w:r>
          </w:p>
        </w:tc>
      </w:tr>
      <w:tr w:rsidR="00A260C7" w:rsidRPr="00560877" w14:paraId="63011F92" w14:textId="77777777">
        <w:trPr>
          <w:trHeight w:val="434"/>
        </w:trPr>
        <w:tc>
          <w:tcPr>
            <w:tcW w:w="829" w:type="dxa"/>
          </w:tcPr>
          <w:p w14:paraId="6664A5AF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7</w:t>
            </w:r>
          </w:p>
        </w:tc>
        <w:tc>
          <w:tcPr>
            <w:tcW w:w="3811" w:type="dxa"/>
          </w:tcPr>
          <w:p w14:paraId="3E352B27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Срок рассмотрения оформленного заемщиком заявления о предоставлении потребительского микрозайма и принятия Кредитором решения относительно этого заявления</w:t>
            </w:r>
          </w:p>
        </w:tc>
        <w:tc>
          <w:tcPr>
            <w:tcW w:w="4584" w:type="dxa"/>
          </w:tcPr>
          <w:p w14:paraId="18C54552" w14:textId="77777777" w:rsidR="00A260C7" w:rsidRPr="00560877" w:rsidRDefault="00A260C7" w:rsidP="00277707">
            <w:pPr>
              <w:tabs>
                <w:tab w:val="left" w:pos="924"/>
              </w:tabs>
              <w:spacing w:line="265" w:lineRule="atLeast"/>
            </w:pPr>
            <w:r w:rsidRPr="00560877">
              <w:t>Рассмотрение заявления о предоставлении потребительского микрозайма (далее – заявление) и сообщение о принятом решении производится в течении рабочего дня (согласно режиму работы</w:t>
            </w:r>
            <w:r w:rsidR="00277707">
              <w:t xml:space="preserve">) </w:t>
            </w:r>
            <w:proofErr w:type="gramStart"/>
            <w:r w:rsidR="00277707">
              <w:t>Кредитора</w:t>
            </w:r>
            <w:proofErr w:type="gramEnd"/>
            <w:r w:rsidR="00277707">
              <w:t xml:space="preserve"> но не более 72 (семидесяти двух</w:t>
            </w:r>
            <w:r w:rsidRPr="00560877">
              <w:t>) часов, с момента подачи Заявителем полного пакета документов.</w:t>
            </w:r>
          </w:p>
        </w:tc>
      </w:tr>
      <w:tr w:rsidR="00A260C7" w:rsidRPr="00560877" w14:paraId="2690A674" w14:textId="77777777">
        <w:trPr>
          <w:trHeight w:val="394"/>
        </w:trPr>
        <w:tc>
          <w:tcPr>
            <w:tcW w:w="829" w:type="dxa"/>
          </w:tcPr>
          <w:p w14:paraId="3D251A80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lastRenderedPageBreak/>
              <w:t>8</w:t>
            </w:r>
          </w:p>
        </w:tc>
        <w:tc>
          <w:tcPr>
            <w:tcW w:w="3811" w:type="dxa"/>
          </w:tcPr>
          <w:p w14:paraId="53768102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Перечень документов и информации, необходимых для рассмотрения заявления, в том числе для оценки кредитоспособности заемщика</w:t>
            </w:r>
          </w:p>
        </w:tc>
        <w:tc>
          <w:tcPr>
            <w:tcW w:w="4584" w:type="dxa"/>
          </w:tcPr>
          <w:p w14:paraId="044001C5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 xml:space="preserve">Для рассмотрения заявления Кредитору предоставляется паспорт гражданина РФ, Кредитоспособность заемщика оценивается по предоставленным им устным данным. Заемщик предоставляет следующую информацию :                                                            - Адрес Регистрации и фактического места жительства                                                                 – Контактные номера телефонов заемщика     - Данные о работе (название организации , должность, стаж, номер телефона организации, в случаи необходимости номер телефона непосредственного руководителя)   - Данные о доходах и расходах заявителя (данные о последнем месяце указываются со слов заемщика) –Номера телефонов как минимум двух контактных лиц (в случае если клиенту менее 21 года) – номер телефона одного из родителей обязателен; в случае если клиенту более 21 года – номера телефонов любых контактных лиц).      </w:t>
            </w:r>
          </w:p>
        </w:tc>
      </w:tr>
      <w:tr w:rsidR="00A260C7" w:rsidRPr="00560877" w14:paraId="4335787D" w14:textId="77777777">
        <w:trPr>
          <w:trHeight w:val="434"/>
        </w:trPr>
        <w:tc>
          <w:tcPr>
            <w:tcW w:w="829" w:type="dxa"/>
          </w:tcPr>
          <w:p w14:paraId="164E7959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9</w:t>
            </w:r>
          </w:p>
        </w:tc>
        <w:tc>
          <w:tcPr>
            <w:tcW w:w="3811" w:type="dxa"/>
          </w:tcPr>
          <w:p w14:paraId="5B921090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Виды потребительского займа</w:t>
            </w:r>
          </w:p>
        </w:tc>
        <w:tc>
          <w:tcPr>
            <w:tcW w:w="4584" w:type="dxa"/>
          </w:tcPr>
          <w:p w14:paraId="0D925E39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Потребительские займы без обеспечения</w:t>
            </w:r>
          </w:p>
        </w:tc>
      </w:tr>
      <w:tr w:rsidR="00A260C7" w:rsidRPr="00560877" w14:paraId="03DDFF25" w14:textId="77777777">
        <w:trPr>
          <w:trHeight w:val="435"/>
        </w:trPr>
        <w:tc>
          <w:tcPr>
            <w:tcW w:w="829" w:type="dxa"/>
          </w:tcPr>
          <w:p w14:paraId="755C2DB2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10</w:t>
            </w:r>
          </w:p>
        </w:tc>
        <w:tc>
          <w:tcPr>
            <w:tcW w:w="3811" w:type="dxa"/>
          </w:tcPr>
          <w:p w14:paraId="6C520125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Суммы потребительского займа</w:t>
            </w:r>
          </w:p>
        </w:tc>
        <w:tc>
          <w:tcPr>
            <w:tcW w:w="4584" w:type="dxa"/>
          </w:tcPr>
          <w:p w14:paraId="2102CF78" w14:textId="77777777" w:rsidR="00A260C7" w:rsidRPr="00560877" w:rsidRDefault="004D1CEB" w:rsidP="000C72CB">
            <w:pPr>
              <w:tabs>
                <w:tab w:val="left" w:pos="924"/>
              </w:tabs>
              <w:spacing w:line="265" w:lineRule="atLeast"/>
            </w:pPr>
            <w:r>
              <w:t>От 1 000 до 5</w:t>
            </w:r>
            <w:r w:rsidR="00D17C4F">
              <w:t>0</w:t>
            </w:r>
            <w:r w:rsidR="00A260C7" w:rsidRPr="00560877">
              <w:t>0 000 рублей.</w:t>
            </w:r>
          </w:p>
        </w:tc>
      </w:tr>
      <w:tr w:rsidR="00A260C7" w:rsidRPr="00560877" w14:paraId="15786870" w14:textId="77777777">
        <w:trPr>
          <w:trHeight w:val="570"/>
        </w:trPr>
        <w:tc>
          <w:tcPr>
            <w:tcW w:w="829" w:type="dxa"/>
          </w:tcPr>
          <w:p w14:paraId="7691EC08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11</w:t>
            </w:r>
          </w:p>
        </w:tc>
        <w:tc>
          <w:tcPr>
            <w:tcW w:w="3811" w:type="dxa"/>
          </w:tcPr>
          <w:p w14:paraId="5718D495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Сроки возврата потребительского займа</w:t>
            </w:r>
          </w:p>
        </w:tc>
        <w:tc>
          <w:tcPr>
            <w:tcW w:w="4584" w:type="dxa"/>
          </w:tcPr>
          <w:p w14:paraId="6EA044B3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С 1го дня до момента окончания действия Договора денежного займа</w:t>
            </w:r>
          </w:p>
        </w:tc>
      </w:tr>
      <w:tr w:rsidR="00A260C7" w:rsidRPr="00560877" w14:paraId="0EC9AE36" w14:textId="77777777">
        <w:trPr>
          <w:trHeight w:val="176"/>
        </w:trPr>
        <w:tc>
          <w:tcPr>
            <w:tcW w:w="829" w:type="dxa"/>
          </w:tcPr>
          <w:p w14:paraId="474B4942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12</w:t>
            </w:r>
          </w:p>
        </w:tc>
        <w:tc>
          <w:tcPr>
            <w:tcW w:w="3811" w:type="dxa"/>
          </w:tcPr>
          <w:p w14:paraId="2E464823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Валюты, в которых предоставляется потребительский заем</w:t>
            </w:r>
          </w:p>
        </w:tc>
        <w:tc>
          <w:tcPr>
            <w:tcW w:w="4584" w:type="dxa"/>
          </w:tcPr>
          <w:p w14:paraId="594A346A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Российский рубль</w:t>
            </w:r>
          </w:p>
        </w:tc>
      </w:tr>
      <w:tr w:rsidR="00A260C7" w:rsidRPr="00560877" w14:paraId="2C4FA9A0" w14:textId="77777777">
        <w:trPr>
          <w:trHeight w:val="244"/>
        </w:trPr>
        <w:tc>
          <w:tcPr>
            <w:tcW w:w="829" w:type="dxa"/>
          </w:tcPr>
          <w:p w14:paraId="6A2D1014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13</w:t>
            </w:r>
          </w:p>
        </w:tc>
        <w:tc>
          <w:tcPr>
            <w:tcW w:w="3811" w:type="dxa"/>
          </w:tcPr>
          <w:p w14:paraId="5DCEAD86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Способы предоставления потребительского займа, в том числе с использованием заемщиком электронных средств платежа</w:t>
            </w:r>
          </w:p>
        </w:tc>
        <w:tc>
          <w:tcPr>
            <w:tcW w:w="4584" w:type="dxa"/>
          </w:tcPr>
          <w:p w14:paraId="5CE3DAD9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proofErr w:type="spellStart"/>
            <w:r w:rsidRPr="00560877">
              <w:t>Займ</w:t>
            </w:r>
            <w:proofErr w:type="spellEnd"/>
            <w:r w:rsidRPr="00560877">
              <w:t xml:space="preserve"> предоставляется наличными денежными средствами в офисе, кассе одного из отделений кредитора или по месту подписания Договора денежного займа</w:t>
            </w:r>
          </w:p>
        </w:tc>
      </w:tr>
      <w:tr w:rsidR="00A260C7" w:rsidRPr="00560877" w14:paraId="7B36C4FE" w14:textId="77777777">
        <w:trPr>
          <w:trHeight w:val="366"/>
        </w:trPr>
        <w:tc>
          <w:tcPr>
            <w:tcW w:w="829" w:type="dxa"/>
          </w:tcPr>
          <w:p w14:paraId="072B1D18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14</w:t>
            </w:r>
          </w:p>
        </w:tc>
        <w:tc>
          <w:tcPr>
            <w:tcW w:w="3811" w:type="dxa"/>
          </w:tcPr>
          <w:p w14:paraId="1C07DD84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Процентные ставки в процентах годовых по договору потребительского займа</w:t>
            </w:r>
          </w:p>
        </w:tc>
        <w:tc>
          <w:tcPr>
            <w:tcW w:w="4584" w:type="dxa"/>
          </w:tcPr>
          <w:p w14:paraId="74C9C27A" w14:textId="6A826F79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От величины размера ключевой ставки, устанавливаемой Банком России, до величины в пределах ограничений значений полной стоимости займов, устанавливаемых ежеквартально Банком России</w:t>
            </w:r>
            <w:r w:rsidR="00EA659A">
              <w:t xml:space="preserve">, </w:t>
            </w:r>
            <w:r w:rsidR="00EA659A" w:rsidRPr="009C76A2">
              <w:t xml:space="preserve">но не превышающих </w:t>
            </w:r>
            <w:r w:rsidR="00555516" w:rsidRPr="009C76A2">
              <w:t>0.8</w:t>
            </w:r>
            <w:r w:rsidR="00EA659A" w:rsidRPr="009C76A2">
              <w:t>% в день</w:t>
            </w:r>
            <w:r w:rsidRPr="009C76A2">
              <w:t>.</w:t>
            </w:r>
            <w:r w:rsidRPr="00560877">
              <w:t xml:space="preserve"> </w:t>
            </w:r>
          </w:p>
        </w:tc>
      </w:tr>
      <w:tr w:rsidR="00A260C7" w:rsidRPr="00560877" w14:paraId="2D12151C" w14:textId="77777777">
        <w:trPr>
          <w:trHeight w:val="155"/>
        </w:trPr>
        <w:tc>
          <w:tcPr>
            <w:tcW w:w="829" w:type="dxa"/>
          </w:tcPr>
          <w:p w14:paraId="7F303C15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15</w:t>
            </w:r>
          </w:p>
        </w:tc>
        <w:tc>
          <w:tcPr>
            <w:tcW w:w="3811" w:type="dxa"/>
          </w:tcPr>
          <w:p w14:paraId="787DDC8C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Виды иных платежей заемщика по договору потребительского займа (при наличии)</w:t>
            </w:r>
          </w:p>
        </w:tc>
        <w:tc>
          <w:tcPr>
            <w:tcW w:w="4584" w:type="dxa"/>
          </w:tcPr>
          <w:p w14:paraId="0F82EEDC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Отсутствуют</w:t>
            </w:r>
          </w:p>
        </w:tc>
      </w:tr>
      <w:tr w:rsidR="00A260C7" w:rsidRPr="00560877" w14:paraId="6847A474" w14:textId="77777777">
        <w:trPr>
          <w:trHeight w:val="190"/>
        </w:trPr>
        <w:tc>
          <w:tcPr>
            <w:tcW w:w="829" w:type="dxa"/>
          </w:tcPr>
          <w:p w14:paraId="29C0ACF0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16</w:t>
            </w:r>
          </w:p>
        </w:tc>
        <w:tc>
          <w:tcPr>
            <w:tcW w:w="3811" w:type="dxa"/>
          </w:tcPr>
          <w:p w14:paraId="5FB73DE4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Суммы иных платежей заемщика по договору потребительского займа (при наличии)</w:t>
            </w:r>
          </w:p>
        </w:tc>
        <w:tc>
          <w:tcPr>
            <w:tcW w:w="4584" w:type="dxa"/>
          </w:tcPr>
          <w:p w14:paraId="13CE3157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Отсутствуют</w:t>
            </w:r>
          </w:p>
        </w:tc>
      </w:tr>
      <w:tr w:rsidR="00A260C7" w:rsidRPr="00560877" w14:paraId="6D929EBA" w14:textId="77777777">
        <w:trPr>
          <w:trHeight w:val="312"/>
        </w:trPr>
        <w:tc>
          <w:tcPr>
            <w:tcW w:w="829" w:type="dxa"/>
          </w:tcPr>
          <w:p w14:paraId="1F7CEBC8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17</w:t>
            </w:r>
          </w:p>
        </w:tc>
        <w:tc>
          <w:tcPr>
            <w:tcW w:w="3811" w:type="dxa"/>
          </w:tcPr>
          <w:p w14:paraId="166E11E1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 xml:space="preserve">Диапазоны значений полной стоимости потребительского займа, определенных с учетом требований </w:t>
            </w:r>
            <w:r w:rsidRPr="00560877">
              <w:lastRenderedPageBreak/>
              <w:t>закона №353 по видам потребительского зама</w:t>
            </w:r>
          </w:p>
        </w:tc>
        <w:tc>
          <w:tcPr>
            <w:tcW w:w="4584" w:type="dxa"/>
          </w:tcPr>
          <w:p w14:paraId="17B09D63" w14:textId="507FE670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lastRenderedPageBreak/>
              <w:t xml:space="preserve">От величины размера ключевой ставки, устанавливаемой Банком России, до величины в пределах ограничений значений </w:t>
            </w:r>
            <w:r w:rsidRPr="00560877">
              <w:lastRenderedPageBreak/>
              <w:t xml:space="preserve">полной стоимости займов, устанавливаемых ежеквартально Банком России. </w:t>
            </w:r>
          </w:p>
        </w:tc>
      </w:tr>
      <w:tr w:rsidR="00A260C7" w:rsidRPr="00560877" w14:paraId="48202040" w14:textId="77777777">
        <w:trPr>
          <w:trHeight w:val="258"/>
        </w:trPr>
        <w:tc>
          <w:tcPr>
            <w:tcW w:w="829" w:type="dxa"/>
          </w:tcPr>
          <w:p w14:paraId="2CE03584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lastRenderedPageBreak/>
              <w:t>18</w:t>
            </w:r>
          </w:p>
        </w:tc>
        <w:tc>
          <w:tcPr>
            <w:tcW w:w="3811" w:type="dxa"/>
          </w:tcPr>
          <w:p w14:paraId="3071CAD1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Периодичность платежей заемщика при возврате потребительского займа</w:t>
            </w:r>
          </w:p>
        </w:tc>
        <w:tc>
          <w:tcPr>
            <w:tcW w:w="4584" w:type="dxa"/>
          </w:tcPr>
          <w:p w14:paraId="187E80CE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Возврат суммы займа вместе с начисленными процентами производится согласно графику.</w:t>
            </w:r>
          </w:p>
        </w:tc>
      </w:tr>
      <w:tr w:rsidR="00A260C7" w:rsidRPr="00560877" w14:paraId="2CBDECCB" w14:textId="77777777">
        <w:trPr>
          <w:trHeight w:val="244"/>
        </w:trPr>
        <w:tc>
          <w:tcPr>
            <w:tcW w:w="829" w:type="dxa"/>
          </w:tcPr>
          <w:p w14:paraId="138200AF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19</w:t>
            </w:r>
          </w:p>
        </w:tc>
        <w:tc>
          <w:tcPr>
            <w:tcW w:w="3811" w:type="dxa"/>
          </w:tcPr>
          <w:p w14:paraId="7D60ED59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Периодичность платежей заемщика при уплате процентов</w:t>
            </w:r>
          </w:p>
        </w:tc>
        <w:tc>
          <w:tcPr>
            <w:tcW w:w="4584" w:type="dxa"/>
          </w:tcPr>
          <w:p w14:paraId="0A7E5CE1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Проценты за пользование займом начисляются ежедневно на остаток суммы займа со дня, следующего за днем предоставления займа, до дня полного возврата суммы займа включительно. При начислении процентов количество дней в году принимается за 365, а количество дней в месяце – 30. Платеж по уплате процентов равен сумме начисленн</w:t>
            </w:r>
            <w:r w:rsidR="00B859C2">
              <w:t>ых за данный расчетный период (</w:t>
            </w:r>
            <w:r w:rsidRPr="00560877">
              <w:t>неделя, две недели, 30 дней) процентов по день окончания данного расчетного периода включительно. По графику платежей являющейся неотъемлемой частью Договора денежного займа.</w:t>
            </w:r>
          </w:p>
        </w:tc>
      </w:tr>
      <w:tr w:rsidR="00A260C7" w:rsidRPr="00560877" w14:paraId="283A6DDF" w14:textId="77777777">
        <w:trPr>
          <w:trHeight w:val="244"/>
        </w:trPr>
        <w:tc>
          <w:tcPr>
            <w:tcW w:w="829" w:type="dxa"/>
          </w:tcPr>
          <w:p w14:paraId="0D320569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20</w:t>
            </w:r>
          </w:p>
        </w:tc>
        <w:tc>
          <w:tcPr>
            <w:tcW w:w="3811" w:type="dxa"/>
          </w:tcPr>
          <w:p w14:paraId="53064291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Периодичность иных платежей заемщика по займу (при наличии)</w:t>
            </w:r>
          </w:p>
        </w:tc>
        <w:tc>
          <w:tcPr>
            <w:tcW w:w="4584" w:type="dxa"/>
          </w:tcPr>
          <w:p w14:paraId="3234A212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Отсутствуют.</w:t>
            </w:r>
          </w:p>
        </w:tc>
      </w:tr>
      <w:tr w:rsidR="00A260C7" w:rsidRPr="00560877" w14:paraId="22A70BCA" w14:textId="77777777">
        <w:trPr>
          <w:trHeight w:val="251"/>
        </w:trPr>
        <w:tc>
          <w:tcPr>
            <w:tcW w:w="829" w:type="dxa"/>
          </w:tcPr>
          <w:p w14:paraId="6495DBFA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21</w:t>
            </w:r>
          </w:p>
        </w:tc>
        <w:tc>
          <w:tcPr>
            <w:tcW w:w="3811" w:type="dxa"/>
          </w:tcPr>
          <w:p w14:paraId="6424E919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Способы возврата заемщиком потребительского займа</w:t>
            </w:r>
          </w:p>
        </w:tc>
        <w:tc>
          <w:tcPr>
            <w:tcW w:w="4584" w:type="dxa"/>
          </w:tcPr>
          <w:p w14:paraId="770F57C5" w14:textId="77777777" w:rsidR="00A260C7" w:rsidRPr="00560877" w:rsidRDefault="00A260C7" w:rsidP="00ED3C77">
            <w:pPr>
              <w:tabs>
                <w:tab w:val="left" w:pos="924"/>
              </w:tabs>
              <w:spacing w:line="265" w:lineRule="atLeast"/>
            </w:pPr>
            <w:r w:rsidRPr="00560877">
              <w:t xml:space="preserve">Заемщик может погасить свой </w:t>
            </w:r>
            <w:proofErr w:type="spellStart"/>
            <w:r w:rsidRPr="00560877">
              <w:t>займ</w:t>
            </w:r>
            <w:proofErr w:type="spellEnd"/>
            <w:r w:rsidRPr="00560877">
              <w:t xml:space="preserve"> полностью либо </w:t>
            </w:r>
            <w:proofErr w:type="gramStart"/>
            <w:r w:rsidRPr="00560877">
              <w:t xml:space="preserve">частично:   </w:t>
            </w:r>
            <w:proofErr w:type="gramEnd"/>
            <w:r w:rsidRPr="00560877">
              <w:t xml:space="preserve">                                  - Наличными денежными средствами в офисе, любом отделении Кредитора или путем перечисления денежных средств на расчетный счет Кредитора по следующим реквизитам: </w:t>
            </w:r>
            <w:r w:rsidR="00ED3C77">
              <w:t>р\с 40701810696060000003 к\с 30101810000000000256 БИК 044525256 ПАО Росбанк</w:t>
            </w:r>
          </w:p>
        </w:tc>
      </w:tr>
      <w:tr w:rsidR="00A260C7" w:rsidRPr="00560877" w14:paraId="5F7BD327" w14:textId="77777777">
        <w:trPr>
          <w:trHeight w:val="244"/>
        </w:trPr>
        <w:tc>
          <w:tcPr>
            <w:tcW w:w="829" w:type="dxa"/>
          </w:tcPr>
          <w:p w14:paraId="7D7C1B85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22</w:t>
            </w:r>
          </w:p>
        </w:tc>
        <w:tc>
          <w:tcPr>
            <w:tcW w:w="3811" w:type="dxa"/>
          </w:tcPr>
          <w:p w14:paraId="1D38C709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Бесплатный способ исполнения заемщиком обязательств по договору потребительского займа</w:t>
            </w:r>
          </w:p>
        </w:tc>
        <w:tc>
          <w:tcPr>
            <w:tcW w:w="4584" w:type="dxa"/>
          </w:tcPr>
          <w:p w14:paraId="263878B7" w14:textId="28FB6C8B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Заемщик м</w:t>
            </w:r>
            <w:r w:rsidR="00B859C2">
              <w:t>о</w:t>
            </w:r>
            <w:r w:rsidRPr="00560877">
              <w:t>жет бесплатно исполнить обязательства по договору потребительского з</w:t>
            </w:r>
            <w:r w:rsidR="00555516">
              <w:t>а</w:t>
            </w:r>
            <w:r w:rsidRPr="00560877">
              <w:t xml:space="preserve">йма в офисе, любом отделении Кредитора, в месте получения оферты, а так же в любом ином обособленном подразделении Кредитора на территории российской Федерации, или путем перечисления денежных средств на расчетный счет Кредитора, со своего банковского вклада (счета, банковской </w:t>
            </w:r>
            <w:proofErr w:type="gramStart"/>
            <w:r w:rsidRPr="00560877">
              <w:t>карты)открытого</w:t>
            </w:r>
            <w:proofErr w:type="gramEnd"/>
            <w:r w:rsidRPr="00560877">
              <w:t xml:space="preserve"> в банке.</w:t>
            </w:r>
          </w:p>
        </w:tc>
      </w:tr>
      <w:tr w:rsidR="00A260C7" w:rsidRPr="00560877" w14:paraId="328A73AA" w14:textId="77777777">
        <w:trPr>
          <w:trHeight w:val="258"/>
        </w:trPr>
        <w:tc>
          <w:tcPr>
            <w:tcW w:w="829" w:type="dxa"/>
          </w:tcPr>
          <w:p w14:paraId="2C6074BB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23</w:t>
            </w:r>
          </w:p>
        </w:tc>
        <w:tc>
          <w:tcPr>
            <w:tcW w:w="3811" w:type="dxa"/>
          </w:tcPr>
          <w:p w14:paraId="0B6B038D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proofErr w:type="gramStart"/>
            <w:r w:rsidRPr="00560877">
              <w:t>Сроки</w:t>
            </w:r>
            <w:proofErr w:type="gramEnd"/>
            <w:r w:rsidRPr="00560877">
              <w:t xml:space="preserve"> в течении которых заемщик вправе отказаться о получения потребительского займа</w:t>
            </w:r>
          </w:p>
        </w:tc>
        <w:tc>
          <w:tcPr>
            <w:tcW w:w="4584" w:type="dxa"/>
          </w:tcPr>
          <w:p w14:paraId="2373F4FE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  <w:rPr>
                <w:rFonts w:ascii="Cambria" w:hAnsi="Cambria" w:cs="Cambria"/>
              </w:rPr>
            </w:pPr>
            <w:r w:rsidRPr="00560877">
              <w:rPr>
                <w:rStyle w:val="Bodytext245pt"/>
                <w:rFonts w:ascii="Cambria" w:hAnsi="Cambria" w:cs="Cambria"/>
                <w:sz w:val="22"/>
                <w:szCs w:val="22"/>
              </w:rPr>
              <w:t xml:space="preserve">Заявитель в праве откататься от получения Займа полностью или частично, уведомив об этом </w:t>
            </w:r>
            <w:proofErr w:type="gramStart"/>
            <w:r w:rsidRPr="00560877">
              <w:rPr>
                <w:rStyle w:val="Bodytext245pt"/>
                <w:rFonts w:ascii="Cambria" w:hAnsi="Cambria" w:cs="Cambria"/>
                <w:sz w:val="22"/>
                <w:szCs w:val="22"/>
              </w:rPr>
              <w:t>Кредитора  способом</w:t>
            </w:r>
            <w:proofErr w:type="gramEnd"/>
            <w:r w:rsidRPr="00560877">
              <w:rPr>
                <w:rStyle w:val="Bodytext245pt"/>
                <w:rFonts w:ascii="Cambria" w:hAnsi="Cambria" w:cs="Cambria"/>
                <w:sz w:val="22"/>
                <w:szCs w:val="22"/>
              </w:rPr>
              <w:t xml:space="preserve"> , который использовался для подачи заявления о предоставлении потребительского микрозайма с момента предоставления Кредитором  заемщику индивидуальных условий договора </w:t>
            </w:r>
            <w:r w:rsidRPr="00560877">
              <w:rPr>
                <w:rStyle w:val="Bodytext245pt"/>
                <w:rFonts w:ascii="Cambria" w:hAnsi="Cambria" w:cs="Cambria"/>
                <w:sz w:val="22"/>
                <w:szCs w:val="22"/>
              </w:rPr>
              <w:lastRenderedPageBreak/>
              <w:t>потребительского займа, до фактического получения суммы Займа.</w:t>
            </w:r>
          </w:p>
        </w:tc>
      </w:tr>
      <w:tr w:rsidR="00A260C7" w:rsidRPr="00560877" w14:paraId="08F7061F" w14:textId="77777777">
        <w:trPr>
          <w:trHeight w:val="258"/>
        </w:trPr>
        <w:tc>
          <w:tcPr>
            <w:tcW w:w="829" w:type="dxa"/>
          </w:tcPr>
          <w:p w14:paraId="04840DDD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lastRenderedPageBreak/>
              <w:t>24</w:t>
            </w:r>
          </w:p>
        </w:tc>
        <w:tc>
          <w:tcPr>
            <w:tcW w:w="3811" w:type="dxa"/>
          </w:tcPr>
          <w:p w14:paraId="5914873D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Способы обеспечения исполнения обязательств по договору потребительского займа</w:t>
            </w:r>
          </w:p>
        </w:tc>
        <w:tc>
          <w:tcPr>
            <w:tcW w:w="4584" w:type="dxa"/>
          </w:tcPr>
          <w:p w14:paraId="03951298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 xml:space="preserve">В качестве способа обеспечения обязательств Кредитором, применяется неустойка, взыскиваемая с Заемщика в порядке и размере, установленной пунктом 25 </w:t>
            </w:r>
            <w:proofErr w:type="gramStart"/>
            <w:r w:rsidRPr="00560877">
              <w:t>настоящей  информации</w:t>
            </w:r>
            <w:proofErr w:type="gramEnd"/>
            <w:r w:rsidRPr="00560877">
              <w:t>.</w:t>
            </w:r>
          </w:p>
        </w:tc>
      </w:tr>
      <w:tr w:rsidR="00A260C7" w:rsidRPr="00560877" w14:paraId="7212BE07" w14:textId="77777777">
        <w:trPr>
          <w:trHeight w:val="237"/>
        </w:trPr>
        <w:tc>
          <w:tcPr>
            <w:tcW w:w="829" w:type="dxa"/>
          </w:tcPr>
          <w:p w14:paraId="07B28FE2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25</w:t>
            </w:r>
          </w:p>
        </w:tc>
        <w:tc>
          <w:tcPr>
            <w:tcW w:w="3811" w:type="dxa"/>
          </w:tcPr>
          <w:p w14:paraId="6846828D" w14:textId="77777777" w:rsidR="00A260C7" w:rsidRPr="00380C8F" w:rsidRDefault="00A260C7" w:rsidP="000C72CB">
            <w:pPr>
              <w:tabs>
                <w:tab w:val="left" w:pos="924"/>
              </w:tabs>
              <w:spacing w:line="265" w:lineRule="atLeast"/>
            </w:pPr>
            <w:r w:rsidRPr="00380C8F">
              <w:t>Ответственность заемщика за ненадлежащее исполнение Договора потребительского займа, информация о том, в каких случаях данные санкции могут быть применены</w:t>
            </w:r>
          </w:p>
        </w:tc>
        <w:tc>
          <w:tcPr>
            <w:tcW w:w="4584" w:type="dxa"/>
          </w:tcPr>
          <w:p w14:paraId="740B56ED" w14:textId="77777777" w:rsidR="00A260C7" w:rsidRPr="00380C8F" w:rsidRDefault="00EA659A" w:rsidP="00EA659A">
            <w:r w:rsidRPr="00380C8F">
              <w:t>В случае нарушения Заемщиком сроков возврата микрозайма и (или) уплаты процентов на сумму микрозайма без уважительных причин (документально подтвержденных), начисляется неустойка под 20% годовых на не погашенную заемщиком часть суммы основного долга, которая начинает начисляться со дня следующего за днем истечения срока возврата микрозайма и уплаты процентов по нему, установленными условиями договора денежного займа и продолжает начисляться пока сумма всех начислений по договору не достигнет полуторакратного размера суммы займа. В случае невозврата денежной сумму в установленный договором Денежного займа срок, начисление процентов продолжается до дня фактического возврата полной суммы микрозайма или до принятия Кредитором решения о прекращении их начисления, в порядке, предусмотренном общими условиями Договора денежного займа.</w:t>
            </w:r>
            <w:r w:rsidR="00A260C7" w:rsidRPr="00380C8F">
              <w:t xml:space="preserve"> </w:t>
            </w:r>
          </w:p>
        </w:tc>
      </w:tr>
      <w:tr w:rsidR="00A260C7" w:rsidRPr="00560877" w14:paraId="710100D2" w14:textId="77777777">
        <w:trPr>
          <w:trHeight w:val="183"/>
        </w:trPr>
        <w:tc>
          <w:tcPr>
            <w:tcW w:w="829" w:type="dxa"/>
          </w:tcPr>
          <w:p w14:paraId="5410FD2A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 xml:space="preserve"> 26</w:t>
            </w:r>
          </w:p>
        </w:tc>
        <w:tc>
          <w:tcPr>
            <w:tcW w:w="3811" w:type="dxa"/>
          </w:tcPr>
          <w:p w14:paraId="2ACD2062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Информация об иных договорах, которые заемщик был обязан заключить</w:t>
            </w:r>
          </w:p>
        </w:tc>
        <w:tc>
          <w:tcPr>
            <w:tcW w:w="4584" w:type="dxa"/>
          </w:tcPr>
          <w:p w14:paraId="1A600733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Для получения микрозайма наличными денежными средствами заключение дополнительных договоров не требуется.</w:t>
            </w:r>
          </w:p>
        </w:tc>
      </w:tr>
      <w:tr w:rsidR="00A260C7" w:rsidRPr="00560877" w14:paraId="0411DE61" w14:textId="77777777">
        <w:trPr>
          <w:trHeight w:val="237"/>
        </w:trPr>
        <w:tc>
          <w:tcPr>
            <w:tcW w:w="829" w:type="dxa"/>
          </w:tcPr>
          <w:p w14:paraId="4E897B90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27</w:t>
            </w:r>
          </w:p>
        </w:tc>
        <w:tc>
          <w:tcPr>
            <w:tcW w:w="3811" w:type="dxa"/>
          </w:tcPr>
          <w:p w14:paraId="0B562625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 xml:space="preserve">Информация об иных условиях, </w:t>
            </w:r>
            <w:proofErr w:type="gramStart"/>
            <w:r w:rsidRPr="00560877">
              <w:t>которые</w:t>
            </w:r>
            <w:proofErr w:type="gramEnd"/>
            <w:r w:rsidRPr="00560877">
              <w:t xml:space="preserve"> </w:t>
            </w:r>
            <w:proofErr w:type="spellStart"/>
            <w:r w:rsidRPr="00560877">
              <w:t>которые</w:t>
            </w:r>
            <w:proofErr w:type="spellEnd"/>
            <w:r w:rsidRPr="00560877">
              <w:t xml:space="preserve"> заемщик обязан получить в связи с Договором денежного займа</w:t>
            </w:r>
          </w:p>
        </w:tc>
        <w:tc>
          <w:tcPr>
            <w:tcW w:w="4584" w:type="dxa"/>
          </w:tcPr>
          <w:p w14:paraId="03022353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Заемщик не обязан получать иные услуги в связи с заключением договора потребительского микрозайма.</w:t>
            </w:r>
          </w:p>
        </w:tc>
      </w:tr>
      <w:tr w:rsidR="00A260C7" w:rsidRPr="00560877" w14:paraId="5A8FBED6" w14:textId="77777777">
        <w:trPr>
          <w:trHeight w:val="244"/>
        </w:trPr>
        <w:tc>
          <w:tcPr>
            <w:tcW w:w="829" w:type="dxa"/>
          </w:tcPr>
          <w:p w14:paraId="3C8CDDB2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28</w:t>
            </w:r>
          </w:p>
        </w:tc>
        <w:tc>
          <w:tcPr>
            <w:tcW w:w="3811" w:type="dxa"/>
          </w:tcPr>
          <w:p w14:paraId="0321D7D1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proofErr w:type="spellStart"/>
            <w:r w:rsidRPr="00560877">
              <w:t>Информаця</w:t>
            </w:r>
            <w:proofErr w:type="spellEnd"/>
            <w:r w:rsidRPr="00560877">
              <w:t xml:space="preserve"> о возможности запрета уступки Кредитора третьим лицам прав (требований) по Договору денежного займа</w:t>
            </w:r>
          </w:p>
        </w:tc>
        <w:tc>
          <w:tcPr>
            <w:tcW w:w="4584" w:type="dxa"/>
          </w:tcPr>
          <w:p w14:paraId="44610F2B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 xml:space="preserve">Уступка Кредитором третьим лицам прав (требований) по Договору денежного займа не запрещается. Заемщик имеет возможность запрета уступки Кредитором третьим лицам прав (требований) по Договору денежного займа. Отметка о запрете либо согласии на уступку Заимодавцем третьим лицам прав (требований) по договору потребительского займа проставляется в индивидуальных </w:t>
            </w:r>
            <w:r w:rsidRPr="00560877">
              <w:lastRenderedPageBreak/>
              <w:t xml:space="preserve">условиях Договора денежного займа. </w:t>
            </w:r>
          </w:p>
        </w:tc>
      </w:tr>
      <w:tr w:rsidR="00A260C7" w:rsidRPr="00560877" w14:paraId="14B8AA22" w14:textId="77777777">
        <w:trPr>
          <w:trHeight w:val="169"/>
        </w:trPr>
        <w:tc>
          <w:tcPr>
            <w:tcW w:w="829" w:type="dxa"/>
          </w:tcPr>
          <w:p w14:paraId="5798FCE5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lastRenderedPageBreak/>
              <w:t>29</w:t>
            </w:r>
          </w:p>
        </w:tc>
        <w:tc>
          <w:tcPr>
            <w:tcW w:w="3811" w:type="dxa"/>
          </w:tcPr>
          <w:p w14:paraId="232ABF46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4584" w:type="dxa"/>
          </w:tcPr>
          <w:p w14:paraId="39F8B15A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Не применимо</w:t>
            </w:r>
          </w:p>
        </w:tc>
      </w:tr>
      <w:tr w:rsidR="00A260C7" w:rsidRPr="00560877" w14:paraId="29C7F905" w14:textId="77777777">
        <w:trPr>
          <w:trHeight w:val="128"/>
        </w:trPr>
        <w:tc>
          <w:tcPr>
            <w:tcW w:w="829" w:type="dxa"/>
          </w:tcPr>
          <w:p w14:paraId="0B638510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30</w:t>
            </w:r>
          </w:p>
        </w:tc>
        <w:tc>
          <w:tcPr>
            <w:tcW w:w="3811" w:type="dxa"/>
          </w:tcPr>
          <w:p w14:paraId="03F47ED3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Порядок предоставления Заемщиком информации об использовании потребительского займа (в том числе-при включении в договор потребительского займа условия об использовании заемщиком полученного потребительского займа на определенные цели)</w:t>
            </w:r>
          </w:p>
        </w:tc>
        <w:tc>
          <w:tcPr>
            <w:tcW w:w="4584" w:type="dxa"/>
          </w:tcPr>
          <w:p w14:paraId="55B2071E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proofErr w:type="spellStart"/>
            <w:r w:rsidRPr="00560877">
              <w:t>Микрозайм</w:t>
            </w:r>
            <w:proofErr w:type="spellEnd"/>
            <w:r w:rsidRPr="00560877">
              <w:t xml:space="preserve"> не является целевым, в связи с чем предоставление Заемщиком информации об использовании потребительского займа не требуется.</w:t>
            </w:r>
          </w:p>
        </w:tc>
      </w:tr>
      <w:tr w:rsidR="00A260C7" w:rsidRPr="00560877" w14:paraId="11B813AB" w14:textId="77777777">
        <w:trPr>
          <w:trHeight w:val="196"/>
        </w:trPr>
        <w:tc>
          <w:tcPr>
            <w:tcW w:w="829" w:type="dxa"/>
          </w:tcPr>
          <w:p w14:paraId="77A8F69A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31</w:t>
            </w:r>
          </w:p>
        </w:tc>
        <w:tc>
          <w:tcPr>
            <w:tcW w:w="3811" w:type="dxa"/>
          </w:tcPr>
          <w:p w14:paraId="28095E38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Подсудность споров по искам Кредитора к Заемщику</w:t>
            </w:r>
          </w:p>
        </w:tc>
        <w:tc>
          <w:tcPr>
            <w:tcW w:w="4584" w:type="dxa"/>
          </w:tcPr>
          <w:p w14:paraId="0A704FF5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Согласно общим правилам законодательства РФ</w:t>
            </w:r>
          </w:p>
        </w:tc>
      </w:tr>
      <w:tr w:rsidR="00A260C7" w:rsidRPr="00560877" w14:paraId="3C12A7C7" w14:textId="77777777">
        <w:trPr>
          <w:trHeight w:val="299"/>
        </w:trPr>
        <w:tc>
          <w:tcPr>
            <w:tcW w:w="829" w:type="dxa"/>
          </w:tcPr>
          <w:p w14:paraId="5DD73A4C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32</w:t>
            </w:r>
          </w:p>
        </w:tc>
        <w:tc>
          <w:tcPr>
            <w:tcW w:w="3811" w:type="dxa"/>
          </w:tcPr>
          <w:p w14:paraId="24E451C6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t>Формуляры или стандартные формы, в которых, определены общие условия Договора денежного займа</w:t>
            </w:r>
          </w:p>
        </w:tc>
        <w:tc>
          <w:tcPr>
            <w:tcW w:w="4584" w:type="dxa"/>
          </w:tcPr>
          <w:p w14:paraId="6621DC70" w14:textId="77777777" w:rsidR="00A260C7" w:rsidRPr="00560877" w:rsidRDefault="00A260C7" w:rsidP="000C72CB">
            <w:pPr>
              <w:tabs>
                <w:tab w:val="left" w:pos="924"/>
              </w:tabs>
              <w:spacing w:line="265" w:lineRule="atLeast"/>
            </w:pPr>
            <w:r w:rsidRPr="00560877">
              <w:rPr>
                <w:b/>
                <w:bCs/>
              </w:rPr>
              <w:t xml:space="preserve">Приложение 1 </w:t>
            </w:r>
            <w:r w:rsidRPr="00560877">
              <w:t xml:space="preserve">– Форма Заявления о предоставлении микрозайма        </w:t>
            </w:r>
            <w:r w:rsidRPr="00560877">
              <w:rPr>
                <w:b/>
                <w:bCs/>
              </w:rPr>
              <w:t>Приложение 2</w:t>
            </w:r>
            <w:r w:rsidRPr="00560877">
              <w:t xml:space="preserve"> – Форма Анкеты Заемщика </w:t>
            </w:r>
            <w:r w:rsidRPr="00560877">
              <w:rPr>
                <w:b/>
                <w:bCs/>
              </w:rPr>
              <w:t xml:space="preserve">Приложение 3 </w:t>
            </w:r>
            <w:r w:rsidRPr="00560877">
              <w:t xml:space="preserve">– Форма Согласия на обработку персональных данных   </w:t>
            </w:r>
            <w:r w:rsidRPr="00560877">
              <w:rPr>
                <w:b/>
                <w:bCs/>
              </w:rPr>
              <w:t>Приложение 4</w:t>
            </w:r>
            <w:r w:rsidRPr="00560877">
              <w:t xml:space="preserve"> – Общие условия Договора денежного займа                                </w:t>
            </w:r>
            <w:r w:rsidRPr="00560877">
              <w:rPr>
                <w:b/>
                <w:bCs/>
              </w:rPr>
              <w:t xml:space="preserve">Приложение 5 </w:t>
            </w:r>
            <w:r w:rsidRPr="00560877">
              <w:t xml:space="preserve">– Согласие об изменении частоты взаимодействия                       </w:t>
            </w:r>
            <w:r w:rsidRPr="00560877">
              <w:rPr>
                <w:b/>
                <w:bCs/>
              </w:rPr>
              <w:t>Приложение 6</w:t>
            </w:r>
            <w:r w:rsidRPr="00560877">
              <w:t xml:space="preserve"> – Согласие Заемщика (должника) на осуществление направленного на возврат его просроченной задолженности взаимодействия с третьим лицом</w:t>
            </w:r>
          </w:p>
        </w:tc>
      </w:tr>
    </w:tbl>
    <w:p w14:paraId="32BB5722" w14:textId="77777777" w:rsidR="00A260C7" w:rsidRDefault="00A260C7" w:rsidP="000C72CB">
      <w:pPr>
        <w:tabs>
          <w:tab w:val="left" w:pos="924"/>
        </w:tabs>
        <w:spacing w:line="265" w:lineRule="atLeast"/>
      </w:pPr>
      <w:r>
        <w:t xml:space="preserve"> </w:t>
      </w:r>
    </w:p>
    <w:p w14:paraId="580A8506" w14:textId="77777777" w:rsidR="00A260C7" w:rsidRPr="0033301D" w:rsidRDefault="00A260C7" w:rsidP="000C72CB">
      <w:pPr>
        <w:tabs>
          <w:tab w:val="left" w:pos="924"/>
        </w:tabs>
        <w:spacing w:line="265" w:lineRule="atLeast"/>
        <w:rPr>
          <w:sz w:val="24"/>
          <w:szCs w:val="24"/>
        </w:rPr>
      </w:pPr>
      <w:r w:rsidRPr="0033301D">
        <w:rPr>
          <w:sz w:val="24"/>
          <w:szCs w:val="24"/>
        </w:rPr>
        <w:t>Настоящий документ носит информационный характер и не является публичной офертой, а так же приглашением делать оферты.</w:t>
      </w:r>
    </w:p>
    <w:sectPr w:rsidR="00A260C7" w:rsidRPr="0033301D" w:rsidSect="0061063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101D" w14:textId="77777777" w:rsidR="00CB10B2" w:rsidRDefault="00CB10B2" w:rsidP="00247B0B">
      <w:pPr>
        <w:spacing w:after="0" w:line="240" w:lineRule="auto"/>
      </w:pPr>
      <w:r>
        <w:separator/>
      </w:r>
    </w:p>
  </w:endnote>
  <w:endnote w:type="continuationSeparator" w:id="0">
    <w:p w14:paraId="6299AC38" w14:textId="77777777" w:rsidR="00CB10B2" w:rsidRDefault="00CB10B2" w:rsidP="0024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4DC9" w14:textId="77777777" w:rsidR="00A260C7" w:rsidRDefault="00D17C4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B4B30">
      <w:rPr>
        <w:noProof/>
      </w:rPr>
      <w:t>3</w:t>
    </w:r>
    <w:r>
      <w:rPr>
        <w:noProof/>
      </w:rPr>
      <w:fldChar w:fldCharType="end"/>
    </w:r>
  </w:p>
  <w:p w14:paraId="2837D144" w14:textId="77777777" w:rsidR="00A260C7" w:rsidRDefault="00A260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6783" w14:textId="77777777" w:rsidR="00CB10B2" w:rsidRDefault="00CB10B2" w:rsidP="00247B0B">
      <w:pPr>
        <w:spacing w:after="0" w:line="240" w:lineRule="auto"/>
      </w:pPr>
      <w:r>
        <w:separator/>
      </w:r>
    </w:p>
  </w:footnote>
  <w:footnote w:type="continuationSeparator" w:id="0">
    <w:p w14:paraId="0658DCBD" w14:textId="77777777" w:rsidR="00CB10B2" w:rsidRDefault="00CB10B2" w:rsidP="0024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8A"/>
    <w:rsid w:val="00054263"/>
    <w:rsid w:val="000A16BC"/>
    <w:rsid w:val="000C72CB"/>
    <w:rsid w:val="00106CAB"/>
    <w:rsid w:val="00146EF6"/>
    <w:rsid w:val="001D352E"/>
    <w:rsid w:val="00205C6C"/>
    <w:rsid w:val="0023170C"/>
    <w:rsid w:val="00247B0B"/>
    <w:rsid w:val="00266F62"/>
    <w:rsid w:val="00277707"/>
    <w:rsid w:val="00297F05"/>
    <w:rsid w:val="002A4DAF"/>
    <w:rsid w:val="003035B3"/>
    <w:rsid w:val="00315278"/>
    <w:rsid w:val="00321AF4"/>
    <w:rsid w:val="0033301D"/>
    <w:rsid w:val="00343D49"/>
    <w:rsid w:val="00365BC4"/>
    <w:rsid w:val="003740C1"/>
    <w:rsid w:val="00377CF8"/>
    <w:rsid w:val="00380C8F"/>
    <w:rsid w:val="00386F4C"/>
    <w:rsid w:val="00391FFE"/>
    <w:rsid w:val="003A325C"/>
    <w:rsid w:val="003D205A"/>
    <w:rsid w:val="00460CEB"/>
    <w:rsid w:val="004D1CEB"/>
    <w:rsid w:val="00535936"/>
    <w:rsid w:val="00541225"/>
    <w:rsid w:val="00541C74"/>
    <w:rsid w:val="00555516"/>
    <w:rsid w:val="00560877"/>
    <w:rsid w:val="005B4B30"/>
    <w:rsid w:val="005B4CCC"/>
    <w:rsid w:val="00610633"/>
    <w:rsid w:val="00676296"/>
    <w:rsid w:val="00691FD1"/>
    <w:rsid w:val="006B41B1"/>
    <w:rsid w:val="00715E2C"/>
    <w:rsid w:val="0075308A"/>
    <w:rsid w:val="007972C0"/>
    <w:rsid w:val="007E62F6"/>
    <w:rsid w:val="00805748"/>
    <w:rsid w:val="00810F8C"/>
    <w:rsid w:val="00815220"/>
    <w:rsid w:val="0083329E"/>
    <w:rsid w:val="0087407D"/>
    <w:rsid w:val="00881160"/>
    <w:rsid w:val="008C76B4"/>
    <w:rsid w:val="00913BE5"/>
    <w:rsid w:val="0093773D"/>
    <w:rsid w:val="00943BC8"/>
    <w:rsid w:val="00967B1B"/>
    <w:rsid w:val="00982F7F"/>
    <w:rsid w:val="009874C0"/>
    <w:rsid w:val="009A16A5"/>
    <w:rsid w:val="009B3B68"/>
    <w:rsid w:val="009C76A2"/>
    <w:rsid w:val="009E391A"/>
    <w:rsid w:val="00A260C7"/>
    <w:rsid w:val="00A471BB"/>
    <w:rsid w:val="00A8207C"/>
    <w:rsid w:val="00B32B80"/>
    <w:rsid w:val="00B362BD"/>
    <w:rsid w:val="00B4598D"/>
    <w:rsid w:val="00B53E4E"/>
    <w:rsid w:val="00B578B1"/>
    <w:rsid w:val="00B61920"/>
    <w:rsid w:val="00B63A57"/>
    <w:rsid w:val="00B74753"/>
    <w:rsid w:val="00B81DEC"/>
    <w:rsid w:val="00B859C2"/>
    <w:rsid w:val="00B863D3"/>
    <w:rsid w:val="00BF632B"/>
    <w:rsid w:val="00C408CD"/>
    <w:rsid w:val="00C52138"/>
    <w:rsid w:val="00C61746"/>
    <w:rsid w:val="00C82855"/>
    <w:rsid w:val="00CA447E"/>
    <w:rsid w:val="00CB10B2"/>
    <w:rsid w:val="00CB7205"/>
    <w:rsid w:val="00CD37F2"/>
    <w:rsid w:val="00D027FC"/>
    <w:rsid w:val="00D17C4F"/>
    <w:rsid w:val="00D87919"/>
    <w:rsid w:val="00EA21B3"/>
    <w:rsid w:val="00EA659A"/>
    <w:rsid w:val="00EB3EB5"/>
    <w:rsid w:val="00EB53E1"/>
    <w:rsid w:val="00EB6A0A"/>
    <w:rsid w:val="00EC51F6"/>
    <w:rsid w:val="00ED3C77"/>
    <w:rsid w:val="00ED7AFF"/>
    <w:rsid w:val="00F37CFE"/>
    <w:rsid w:val="00F4372C"/>
    <w:rsid w:val="00F63961"/>
    <w:rsid w:val="00FB0F3E"/>
    <w:rsid w:val="00FC3773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26028"/>
  <w15:docId w15:val="{18353CD1-F870-499C-8386-1FDBF30F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6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7B0B"/>
  </w:style>
  <w:style w:type="paragraph" w:styleId="a5">
    <w:name w:val="footer"/>
    <w:basedOn w:val="a"/>
    <w:link w:val="a6"/>
    <w:uiPriority w:val="99"/>
    <w:rsid w:val="0024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7B0B"/>
  </w:style>
  <w:style w:type="character" w:customStyle="1" w:styleId="Bodytext245pt">
    <w:name w:val="Body text (2) + 4.5 pt"/>
    <w:uiPriority w:val="99"/>
    <w:rsid w:val="00B4598D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7C4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A659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2</cp:revision>
  <cp:lastPrinted>2019-07-04T12:18:00Z</cp:lastPrinted>
  <dcterms:created xsi:type="dcterms:W3CDTF">2023-07-04T08:59:00Z</dcterms:created>
  <dcterms:modified xsi:type="dcterms:W3CDTF">2023-07-04T08:59:00Z</dcterms:modified>
</cp:coreProperties>
</file>