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0" w:type="dxa"/>
        <w:tblLook w:val="04A0" w:firstRow="1" w:lastRow="0" w:firstColumn="1" w:lastColumn="0" w:noHBand="0" w:noVBand="1"/>
      </w:tblPr>
      <w:tblGrid>
        <w:gridCol w:w="643"/>
        <w:gridCol w:w="3951"/>
        <w:gridCol w:w="2010"/>
        <w:gridCol w:w="2010"/>
        <w:gridCol w:w="3082"/>
        <w:gridCol w:w="3154"/>
      </w:tblGrid>
      <w:tr w:rsidR="00632B7C" w14:paraId="13605122" w14:textId="77777777" w:rsidTr="00632B7C">
        <w:trPr>
          <w:trHeight w:val="1408"/>
        </w:trPr>
        <w:tc>
          <w:tcPr>
            <w:tcW w:w="675" w:type="dxa"/>
          </w:tcPr>
          <w:p w14:paraId="279D673D" w14:textId="77777777" w:rsidR="00632B7C" w:rsidRDefault="00632B7C">
            <w:r>
              <w:rPr>
                <w:rFonts w:ascii="Arial" w:hAnsi="Arial" w:cs="Arial"/>
                <w:color w:val="333333"/>
                <w:sz w:val="21"/>
                <w:szCs w:val="21"/>
                <w:shd w:val="clear" w:color="auto" w:fill="FFFFFF"/>
              </w:rPr>
              <w:t>N п/п</w:t>
            </w:r>
          </w:p>
        </w:tc>
        <w:tc>
          <w:tcPr>
            <w:tcW w:w="4349" w:type="dxa"/>
          </w:tcPr>
          <w:p w14:paraId="5C8E440F" w14:textId="77777777" w:rsidR="00632B7C" w:rsidRDefault="00632B7C">
            <w:r>
              <w:rPr>
                <w:rFonts w:ascii="Arial" w:hAnsi="Arial" w:cs="Arial"/>
                <w:color w:val="333333"/>
                <w:sz w:val="21"/>
                <w:szCs w:val="21"/>
                <w:shd w:val="clear" w:color="auto" w:fill="FFFFFF"/>
              </w:rPr>
              <w:t>полное наименование, ОГРН и ИНН юридического лица (в отношении иностранных юридических лиц указываются сведения о регистрации в государственных органах страны происхождения) / фамилия, имя, отчество (последнее - при наличии), дата и место рождения, серия и номер паспорта или серия (при наличии) и номер иного документа, удостоверяющего личность физического лица, наименование органа, выдавшего паспорт (иной документ, удостоверяющий личность), дата выдачи паспорта (иного документа, удостоверяющего личность), ИНН (при наличии), адрес регистрации по месту жительства, ОГРН индивидуального предпринимателя (если физическое лицо является индивидуальным предпринимателем)</w:t>
            </w:r>
          </w:p>
        </w:tc>
        <w:tc>
          <w:tcPr>
            <w:tcW w:w="1180" w:type="dxa"/>
          </w:tcPr>
          <w:p w14:paraId="58D5D66E" w14:textId="77777777" w:rsidR="00632B7C" w:rsidRDefault="00632B7C">
            <w:r>
              <w:rPr>
                <w:rFonts w:ascii="Arial" w:hAnsi="Arial" w:cs="Arial"/>
                <w:color w:val="333333"/>
                <w:sz w:val="21"/>
                <w:szCs w:val="21"/>
                <w:shd w:val="clear" w:color="auto" w:fill="FFFFFF"/>
              </w:rPr>
              <w:t>принадлежащие акционеру (участнику) акции (доли) (процентное отношение к уставному капиталу микрофинансовой организации)</w:t>
            </w:r>
          </w:p>
        </w:tc>
        <w:tc>
          <w:tcPr>
            <w:tcW w:w="1984" w:type="dxa"/>
          </w:tcPr>
          <w:p w14:paraId="1E9011C7" w14:textId="77777777" w:rsidR="00632B7C" w:rsidRDefault="00632B7C">
            <w:r>
              <w:rPr>
                <w:rFonts w:ascii="Arial" w:hAnsi="Arial" w:cs="Arial"/>
                <w:color w:val="333333"/>
                <w:sz w:val="21"/>
                <w:szCs w:val="21"/>
                <w:shd w:val="clear" w:color="auto" w:fill="FFFFFF"/>
              </w:rPr>
              <w:t>принадлежащие акционеру (участнику) акции (доли) (процент голосов к общему количеству голосующих акций(долей) микрофинансовой организации)</w:t>
            </w:r>
          </w:p>
        </w:tc>
        <w:tc>
          <w:tcPr>
            <w:tcW w:w="3287" w:type="dxa"/>
          </w:tcPr>
          <w:p w14:paraId="1806D4A4" w14:textId="77777777" w:rsidR="00632B7C" w:rsidRDefault="00632B7C">
            <w:r>
              <w:rPr>
                <w:rFonts w:ascii="Arial" w:hAnsi="Arial" w:cs="Arial"/>
                <w:b/>
                <w:bCs/>
                <w:color w:val="333333"/>
                <w:sz w:val="21"/>
                <w:szCs w:val="21"/>
                <w:shd w:val="clear" w:color="auto" w:fill="FFFFFF"/>
              </w:rPr>
              <w:t>Лица, являющиеся конечными собственниками акционеров (участников) микрофинансовой организации, а также лица, под контролем либо значительным влиянием которых находится микрофинансовая организация</w:t>
            </w:r>
          </w:p>
        </w:tc>
        <w:tc>
          <w:tcPr>
            <w:tcW w:w="3375" w:type="dxa"/>
          </w:tcPr>
          <w:p w14:paraId="591846C8" w14:textId="77777777" w:rsidR="00632B7C" w:rsidRDefault="00632B7C">
            <w:r>
              <w:rPr>
                <w:rFonts w:ascii="Arial" w:hAnsi="Arial" w:cs="Arial"/>
                <w:b/>
                <w:bCs/>
                <w:color w:val="333333"/>
                <w:sz w:val="21"/>
                <w:szCs w:val="21"/>
                <w:shd w:val="clear" w:color="auto" w:fill="FFFFFF"/>
              </w:rPr>
              <w:t>Взаимосвязи между акционерами (участниками) микрофинансовой организации, и (или) конечными собственниками акционеров (участников) микрофинансовой организации и (или) лицами, под контролем либо значительным влиянием которых находится микрофинансовая организация</w:t>
            </w:r>
          </w:p>
        </w:tc>
      </w:tr>
      <w:tr w:rsidR="00632B7C" w14:paraId="5975751F" w14:textId="77777777" w:rsidTr="00632B7C">
        <w:tc>
          <w:tcPr>
            <w:tcW w:w="675" w:type="dxa"/>
          </w:tcPr>
          <w:p w14:paraId="71153D18" w14:textId="77777777" w:rsidR="00632B7C" w:rsidRDefault="00632B7C"/>
        </w:tc>
        <w:tc>
          <w:tcPr>
            <w:tcW w:w="4349" w:type="dxa"/>
          </w:tcPr>
          <w:p w14:paraId="56D5C751" w14:textId="43707AF2" w:rsidR="00632B7C" w:rsidRPr="00A01A0A" w:rsidRDefault="00632B7C">
            <w:proofErr w:type="spellStart"/>
            <w:r>
              <w:t>Кибин</w:t>
            </w:r>
            <w:proofErr w:type="spellEnd"/>
            <w:r>
              <w:t xml:space="preserve"> Александр Александрович</w:t>
            </w:r>
            <w:r w:rsidR="007A2B84">
              <w:t>, г. Кострома</w:t>
            </w:r>
            <w:r w:rsidR="00A01A0A">
              <w:t>, генеральный директор Общества с 01.04.2023 г.</w:t>
            </w:r>
          </w:p>
        </w:tc>
        <w:tc>
          <w:tcPr>
            <w:tcW w:w="1180" w:type="dxa"/>
          </w:tcPr>
          <w:p w14:paraId="624C432B" w14:textId="77777777" w:rsidR="00632B7C" w:rsidRDefault="00632B7C">
            <w:r>
              <w:t>15 %</w:t>
            </w:r>
          </w:p>
        </w:tc>
        <w:tc>
          <w:tcPr>
            <w:tcW w:w="1984" w:type="dxa"/>
          </w:tcPr>
          <w:p w14:paraId="22B9B32C" w14:textId="77777777" w:rsidR="00632B7C" w:rsidRDefault="00632B7C">
            <w:r>
              <w:t>15%</w:t>
            </w:r>
          </w:p>
        </w:tc>
        <w:tc>
          <w:tcPr>
            <w:tcW w:w="3287" w:type="dxa"/>
          </w:tcPr>
          <w:p w14:paraId="491B5DB3" w14:textId="77777777" w:rsidR="00632B7C" w:rsidRDefault="00632B7C"/>
        </w:tc>
        <w:tc>
          <w:tcPr>
            <w:tcW w:w="3375" w:type="dxa"/>
          </w:tcPr>
          <w:p w14:paraId="39E67724" w14:textId="6F8447A0" w:rsidR="00632B7C" w:rsidRDefault="00632B7C"/>
        </w:tc>
      </w:tr>
      <w:tr w:rsidR="00632B7C" w14:paraId="45CD3759" w14:textId="77777777" w:rsidTr="00632B7C">
        <w:tc>
          <w:tcPr>
            <w:tcW w:w="675" w:type="dxa"/>
          </w:tcPr>
          <w:p w14:paraId="0A1B0653" w14:textId="77777777" w:rsidR="00632B7C" w:rsidRDefault="00632B7C"/>
        </w:tc>
        <w:tc>
          <w:tcPr>
            <w:tcW w:w="4349" w:type="dxa"/>
          </w:tcPr>
          <w:p w14:paraId="49CE4C62" w14:textId="77777777" w:rsidR="00632B7C" w:rsidRDefault="00632B7C">
            <w:r>
              <w:t>Комаров Вадим Вячеславович</w:t>
            </w:r>
            <w:r w:rsidR="007A2B84">
              <w:t>, г. Кострома</w:t>
            </w:r>
          </w:p>
        </w:tc>
        <w:tc>
          <w:tcPr>
            <w:tcW w:w="1180" w:type="dxa"/>
          </w:tcPr>
          <w:p w14:paraId="0A552837" w14:textId="77777777" w:rsidR="00632B7C" w:rsidRDefault="00632B7C">
            <w:r>
              <w:t>35 %</w:t>
            </w:r>
          </w:p>
        </w:tc>
        <w:tc>
          <w:tcPr>
            <w:tcW w:w="1984" w:type="dxa"/>
          </w:tcPr>
          <w:p w14:paraId="7FF48CEF" w14:textId="77777777" w:rsidR="00632B7C" w:rsidRDefault="00632B7C">
            <w:r>
              <w:t>35%</w:t>
            </w:r>
          </w:p>
        </w:tc>
        <w:tc>
          <w:tcPr>
            <w:tcW w:w="3287" w:type="dxa"/>
          </w:tcPr>
          <w:p w14:paraId="63CFAD8D" w14:textId="77777777" w:rsidR="00632B7C" w:rsidRDefault="00632B7C">
            <w:r>
              <w:t>Значительное влияние</w:t>
            </w:r>
          </w:p>
        </w:tc>
        <w:tc>
          <w:tcPr>
            <w:tcW w:w="3375" w:type="dxa"/>
          </w:tcPr>
          <w:p w14:paraId="3141D676" w14:textId="77777777" w:rsidR="00632B7C" w:rsidRDefault="00632B7C"/>
        </w:tc>
      </w:tr>
      <w:tr w:rsidR="00632B7C" w14:paraId="288B5C05" w14:textId="77777777" w:rsidTr="00632B7C">
        <w:tc>
          <w:tcPr>
            <w:tcW w:w="675" w:type="dxa"/>
          </w:tcPr>
          <w:p w14:paraId="6CD119EF" w14:textId="77777777" w:rsidR="00632B7C" w:rsidRDefault="00632B7C"/>
        </w:tc>
        <w:tc>
          <w:tcPr>
            <w:tcW w:w="4349" w:type="dxa"/>
          </w:tcPr>
          <w:p w14:paraId="2CDCE667" w14:textId="77777777" w:rsidR="00632B7C" w:rsidRDefault="00632B7C">
            <w:proofErr w:type="spellStart"/>
            <w:r>
              <w:t>Кибина</w:t>
            </w:r>
            <w:proofErr w:type="spellEnd"/>
            <w:r>
              <w:t xml:space="preserve"> Марина Николаевна</w:t>
            </w:r>
            <w:r w:rsidR="007A2B84">
              <w:t>, г. Кострома</w:t>
            </w:r>
          </w:p>
        </w:tc>
        <w:tc>
          <w:tcPr>
            <w:tcW w:w="1180" w:type="dxa"/>
          </w:tcPr>
          <w:p w14:paraId="317FCB92" w14:textId="77777777" w:rsidR="00632B7C" w:rsidRDefault="00632B7C">
            <w:r>
              <w:t>50 %</w:t>
            </w:r>
          </w:p>
        </w:tc>
        <w:tc>
          <w:tcPr>
            <w:tcW w:w="1984" w:type="dxa"/>
          </w:tcPr>
          <w:p w14:paraId="0EB164D4" w14:textId="77777777" w:rsidR="00632B7C" w:rsidRDefault="00632B7C">
            <w:r>
              <w:t>50%</w:t>
            </w:r>
          </w:p>
        </w:tc>
        <w:tc>
          <w:tcPr>
            <w:tcW w:w="3287" w:type="dxa"/>
          </w:tcPr>
          <w:p w14:paraId="4675C2C0" w14:textId="77777777" w:rsidR="00632B7C" w:rsidRDefault="00632B7C">
            <w:r>
              <w:t>Значительное влияние</w:t>
            </w:r>
          </w:p>
        </w:tc>
        <w:tc>
          <w:tcPr>
            <w:tcW w:w="3375" w:type="dxa"/>
          </w:tcPr>
          <w:p w14:paraId="2EBD2042" w14:textId="40BCC148" w:rsidR="00632B7C" w:rsidRDefault="00632B7C"/>
        </w:tc>
      </w:tr>
    </w:tbl>
    <w:p w14:paraId="0555EFB5" w14:textId="77777777" w:rsidR="00C70869" w:rsidRDefault="00AC6CE1"/>
    <w:sectPr w:rsidR="00C70869" w:rsidSect="00632B7C">
      <w:head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F6D2" w14:textId="77777777" w:rsidR="00AC6CE1" w:rsidRDefault="00AC6CE1" w:rsidP="00BC5F9B">
      <w:pPr>
        <w:spacing w:after="0" w:line="240" w:lineRule="auto"/>
      </w:pPr>
      <w:r>
        <w:separator/>
      </w:r>
    </w:p>
  </w:endnote>
  <w:endnote w:type="continuationSeparator" w:id="0">
    <w:p w14:paraId="5ADCD4C4" w14:textId="77777777" w:rsidR="00AC6CE1" w:rsidRDefault="00AC6CE1" w:rsidP="00BC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1603" w14:textId="77777777" w:rsidR="00AC6CE1" w:rsidRDefault="00AC6CE1" w:rsidP="00BC5F9B">
      <w:pPr>
        <w:spacing w:after="0" w:line="240" w:lineRule="auto"/>
      </w:pPr>
      <w:r>
        <w:separator/>
      </w:r>
    </w:p>
  </w:footnote>
  <w:footnote w:type="continuationSeparator" w:id="0">
    <w:p w14:paraId="246CDFB0" w14:textId="77777777" w:rsidR="00AC6CE1" w:rsidRDefault="00AC6CE1" w:rsidP="00BC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D06A" w14:textId="77777777" w:rsidR="00BC5F9B" w:rsidRDefault="00BC5F9B">
    <w:pPr>
      <w:pStyle w:val="a4"/>
      <w:rPr>
        <w:lang w:val="en-US"/>
      </w:rPr>
    </w:pPr>
  </w:p>
  <w:p w14:paraId="4A4535F1" w14:textId="77777777" w:rsidR="00BC5F9B" w:rsidRDefault="00BC5F9B">
    <w:pPr>
      <w:pStyle w:val="a4"/>
      <w:rPr>
        <w:lang w:val="en-US"/>
      </w:rPr>
    </w:pPr>
  </w:p>
  <w:p w14:paraId="5C334AAC" w14:textId="77777777" w:rsidR="00BC5F9B" w:rsidRDefault="00BC5F9B">
    <w:pPr>
      <w:pStyle w:val="a4"/>
      <w:rPr>
        <w:lang w:val="en-US"/>
      </w:rPr>
    </w:pPr>
  </w:p>
  <w:p w14:paraId="36C48672" w14:textId="77777777" w:rsidR="00BC5F9B" w:rsidRDefault="00BC5F9B">
    <w:pPr>
      <w:pStyle w:val="a4"/>
      <w:rPr>
        <w:lang w:val="en-US"/>
      </w:rPr>
    </w:pPr>
    <w:r>
      <w:rPr>
        <w:rFonts w:ascii="Arial" w:hAnsi="Arial" w:cs="Arial"/>
        <w:b/>
        <w:bCs/>
        <w:color w:val="333333"/>
        <w:sz w:val="21"/>
        <w:szCs w:val="21"/>
        <w:shd w:val="clear" w:color="auto" w:fill="FFFFFF"/>
      </w:rPr>
      <w:t>Акционеры (участники) микрофинансовой организации</w:t>
    </w:r>
  </w:p>
  <w:p w14:paraId="2C6694B6" w14:textId="77777777" w:rsidR="00BC5F9B" w:rsidRDefault="00BC5F9B">
    <w:pPr>
      <w:pStyle w:val="a4"/>
      <w:rPr>
        <w:lang w:val="en-US"/>
      </w:rPr>
    </w:pPr>
  </w:p>
  <w:p w14:paraId="7663E706" w14:textId="77777777" w:rsidR="00BC5F9B" w:rsidRPr="00BC5F9B" w:rsidRDefault="00BC5F9B">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C"/>
    <w:rsid w:val="002B5E08"/>
    <w:rsid w:val="00632B7C"/>
    <w:rsid w:val="007A2B84"/>
    <w:rsid w:val="00A01A0A"/>
    <w:rsid w:val="00A6266A"/>
    <w:rsid w:val="00AC6CE1"/>
    <w:rsid w:val="00BC5F9B"/>
    <w:rsid w:val="00CA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C49B"/>
  <w15:docId w15:val="{F0C08A4B-0ACA-45D6-9CF5-BC586DE3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5F9B"/>
  </w:style>
  <w:style w:type="paragraph" w:styleId="a6">
    <w:name w:val="footer"/>
    <w:basedOn w:val="a"/>
    <w:link w:val="a7"/>
    <w:uiPriority w:val="99"/>
    <w:unhideWhenUsed/>
    <w:rsid w:val="00BC5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PC</cp:lastModifiedBy>
  <cp:revision>2</cp:revision>
  <dcterms:created xsi:type="dcterms:W3CDTF">2023-08-28T11:45:00Z</dcterms:created>
  <dcterms:modified xsi:type="dcterms:W3CDTF">2023-08-28T11:45:00Z</dcterms:modified>
</cp:coreProperties>
</file>